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1. DISCIPLINA/competenza chiave: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GEOGRAFIA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2. Specifico formativo della disciplina/competenza chiave (qual è la finalità formativa?):</w:t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Times" w:cs="Times" w:eastAsia="Times" w:hAnsi="Times"/>
          <w:i w:val="1"/>
          <w:color w:val="000000"/>
          <w:sz w:val="29"/>
          <w:szCs w:val="29"/>
        </w:rPr>
      </w:pPr>
      <w:r w:rsidDel="00000000" w:rsidR="00000000" w:rsidRPr="00000000">
        <w:rPr>
          <w:rFonts w:ascii="Times" w:cs="Times" w:eastAsia="Times" w:hAnsi="Times"/>
          <w:i w:val="1"/>
          <w:color w:val="000000"/>
          <w:sz w:val="29"/>
          <w:szCs w:val="29"/>
          <w:rtl w:val="0"/>
        </w:rPr>
        <w:t xml:space="preserve">In un tempo caratterizzato dalla presenza a scuola di alunni di ogni parte del mondo, la geografia consente il confronto sulle grandi questioni comuni a partire dalla conoscenza dei differenti luoghi di nascita o di origine famigliare. </w:t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Times" w:cs="Times" w:eastAsia="Times" w:hAnsi="Times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i w:val="1"/>
          <w:color w:val="000000"/>
          <w:sz w:val="24"/>
          <w:szCs w:val="24"/>
        </w:rPr>
        <w:drawing>
          <wp:inline distB="0" distT="0" distL="0" distR="0">
            <wp:extent cx="6478905" cy="4308475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78905" cy="4308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644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3. Quali ABILITÀ DI BASE connotano la disciplina/competenza chiave in questione? Cosa deve saper fare uno studente per essere considerato competente nell’ambito posto a tema?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24" w:right="0" w:hanging="36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ORIENTARSI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24" w:right="0" w:hanging="36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DESCRIVERE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24" w:right="0" w:hanging="36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RISPETTARE L’AMBIENTE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486400" cy="319659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196590"/>
                          <a:chOff x="0" y="0"/>
                          <a:chExt cx="5486400" cy="3196575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5486400" cy="3196575"/>
                            <a:chOff x="0" y="0"/>
                            <a:chExt cx="5486400" cy="31965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5486400" cy="31965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789973" y="858333"/>
                              <a:ext cx="1963530" cy="1963530"/>
                            </a:xfrm>
                            <a:prstGeom prst="ellipse">
                              <a:avLst/>
                            </a:prstGeom>
                            <a:solidFill>
                              <a:srgbClr val="599BD5">
                                <a:alpha val="49803"/>
                              </a:srgbClr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5" name="Shape 5"/>
                          <wps:spPr>
                            <a:xfrm>
                              <a:off x="2077525" y="1145885"/>
                              <a:ext cx="1388426" cy="13884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  <w:t xml:space="preserve">GEOGRAFIA</w:t>
                                </w:r>
                              </w:p>
                            </w:txbxContent>
                          </wps:txbx>
                          <wps:bodyPr anchorCtr="0" anchor="ctr" bIns="26650" lIns="26650" spcFirstLastPara="1" rIns="26650" wrap="square" tIns="26650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2252317" y="150767"/>
                              <a:ext cx="981765" cy="975962"/>
                            </a:xfrm>
                            <a:prstGeom prst="ellipse">
                              <a:avLst/>
                            </a:prstGeom>
                            <a:solidFill>
                              <a:srgbClr val="50C9B6">
                                <a:alpha val="49803"/>
                              </a:srgbClr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7" name="Shape 7"/>
                          <wps:spPr>
                            <a:xfrm>
                              <a:off x="2396093" y="293693"/>
                              <a:ext cx="694213" cy="690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2"/>
                                    <w:vertAlign w:val="baseline"/>
                                  </w:rPr>
                                  <w:t xml:space="preserve">L'alunno si orienta nello spazio e sulle carte di diversa scala usando i punti cardinali e le coordinate geografiche per leggere il territorio.</w:t>
                                </w:r>
                              </w:p>
                            </w:txbxContent>
                          </wps:txbx>
                          <wps:bodyPr anchorCtr="0" anchor="ctr" bIns="7600" lIns="7600" spcFirstLastPara="1" rIns="7600" wrap="square" tIns="76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3358630" y="2064056"/>
                              <a:ext cx="981765" cy="981765"/>
                            </a:xfrm>
                            <a:prstGeom prst="ellipse">
                              <a:avLst/>
                            </a:prstGeom>
                            <a:solidFill>
                              <a:srgbClr val="48BD62">
                                <a:alpha val="49803"/>
                              </a:srgbClr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9" name="Shape 9"/>
                          <wps:spPr>
                            <a:xfrm>
                              <a:off x="3502406" y="2207832"/>
                              <a:ext cx="694213" cy="6942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2"/>
                                    <w:vertAlign w:val="baseline"/>
                                  </w:rPr>
                                  <w:t xml:space="preserve">E' in grado di valutare gli effetti delle azioni dell’uomo in modo tale da essere cittadino attivo e responsabile.</w:t>
                                </w:r>
                              </w:p>
                            </w:txbxContent>
                          </wps:txbx>
                          <wps:bodyPr anchorCtr="0" anchor="ctr" bIns="7600" lIns="7600" spcFirstLastPara="1" rIns="7600" wrap="square" tIns="7600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1146004" y="2064056"/>
                              <a:ext cx="981765" cy="981765"/>
                            </a:xfrm>
                            <a:prstGeom prst="ellipse">
                              <a:avLst/>
                            </a:prstGeom>
                            <a:solidFill>
                              <a:srgbClr val="6FAB46">
                                <a:alpha val="49803"/>
                              </a:srgbClr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1" name="Shape 11"/>
                          <wps:spPr>
                            <a:xfrm>
                              <a:off x="1289780" y="2207832"/>
                              <a:ext cx="694213" cy="6942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2"/>
                                    <w:vertAlign w:val="baseline"/>
                                  </w:rPr>
                                  <w:t xml:space="preserve">Sa individuare, riconoscere  e descrivere gli elementi caratterizzanti dei paesaggi.</w:t>
                                </w:r>
                              </w:p>
                            </w:txbxContent>
                          </wps:txbx>
                          <wps:bodyPr anchorCtr="0" anchor="ctr" bIns="7600" lIns="7600" spcFirstLastPara="1" rIns="7600" wrap="square" tIns="760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486400" cy="3196590"/>
                <wp:effectExtent b="0" l="0" r="0" t="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19659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49"/>
        </w:tabs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tbl>
      <w:tblPr>
        <w:tblStyle w:val="Table1"/>
        <w:tblW w:w="97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80" w:hRule="atLeast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DOMANDE ESSENZIALI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cosa serve la geografia? Che cosa è necessario conoscere affinché io riesca a muovermi con consapevolezza nello spazio che mi circonda?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Cosa significa far parte di una comunità territoriale organizzata? Che cos’è una comunità territoriale organizzata?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4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Perché il paesaggio è il contenitore di tutte le memorie materiali e immateriali? Come posso tutelare il paesaggio ed essere un cittadino attivo e responsabile?</w:t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Si ricorda che un'efficace domanda essenziale: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1) è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aperta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cioè non ha un’ovvia e unica risposta esatta e definitiva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2) è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intenzionalmente costruita per provocare e sostenere nel tempo l’interesse degli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studenti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 spesso stimola la discussione e il dibattito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3) richiede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un pensare di livello superiore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come l’analisi, l’inferenza, la valutazione,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 previsione. Non può ricevere un’efficace risposta semplicemente attraverso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 richiamo, la memoria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4)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indica idee più ampie e trasferibili all’interno della disciplina e talvolta è di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tipo interdisciplinare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5)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solleva altre importanti domande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 suggerisce molteplici ed importanti linee di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ricerca e di discussione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6) richiede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supporto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giustificazione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non solo una risposta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7)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ricorre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nel tempo, cioè va rivisitata continuamente.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bottom w:color="000000" w:space="1" w:sz="4" w:val="single"/>
        </w:pBd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</w:tcPr>
          <w:p w:rsidR="00000000" w:rsidDel="00000000" w:rsidP="00000000" w:rsidRDefault="00000000" w:rsidRPr="00000000" w14:paraId="0000002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CLASSE I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  <w:t xml:space="preserve">L’allievo è in grado di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ORIENTARSI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conosce la propria posizione e quella degli oggetti nell’ambiente attraverso i rapporti topologici;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DESCRIVERE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rappresenta e colloca oggetti nell’ambiente e nello spazio grafico da vari punti di vista;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L’AMBIENTE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gestisce autonomamente il proprio materiale scolastico;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gli spazi comuni.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11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9611"/>
        <w:tblGridChange w:id="0">
          <w:tblGrid>
            <w:gridCol w:w="9611"/>
          </w:tblGrid>
        </w:tblGridChange>
      </w:tblGrid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2cddc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  <w:t xml:space="preserve">L’allievo è in grado di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ORIENTARSI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conosce la propria posizione e quella degli oggetti nell’ambiente attraverso i rapporti topologici;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interiorizza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il processo di lateralizzazione verso se stesso e nello spazio;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DESCRIVERE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rappresenta e colloca oggetti nell’ambiente e nello spazio grafico da vari punti di vista;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rappresenta spazi vissuti 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percorsi attraverso una simbologia;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RISPETTARE L’AMBIENTE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gestisce autonomamente il proprio e l’altrui materiale scolastico;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gli spazi comun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11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9611"/>
        <w:tblGridChange w:id="0">
          <w:tblGrid>
            <w:gridCol w:w="9611"/>
          </w:tblGrid>
        </w:tblGridChange>
      </w:tblGrid>
      <w:tr>
        <w:trPr>
          <w:trHeight w:val="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2cddc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  <w:t xml:space="preserve"> L’allievo è in grado di…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ORIENTARSI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orienta attraverso i punti cardinali;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utilizza punti di riferimento di una pianta;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DESCRIVERE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riconosce le principali caratteristiche dei diversi ambienti;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comprende il rapporto tra realtà geografica e sua rappresentazione su carta;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RISPETTARE L’AMBIENTE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gli spazi comuni;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l’ambiente che ci circonda e ha consapevolezza di alcune problematiche ad esso relative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comprende che un ambiente può essere modificato dalla natura o dall’uomo e le conseguenze che ne derivano.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11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8948"/>
        <w:gridCol w:w="7"/>
        <w:gridCol w:w="656"/>
        <w:tblGridChange w:id="0">
          <w:tblGrid>
            <w:gridCol w:w="8948"/>
            <w:gridCol w:w="7"/>
            <w:gridCol w:w="656"/>
          </w:tblGrid>
        </w:tblGridChange>
      </w:tblGrid>
      <w:tr>
        <w:trPr>
          <w:trHeight w:val="1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2cddc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L’allievo è in grado di…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 orienta attraverso i punti cardinali, le mappe e le carte geografiche;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DESCRIVERE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l’origine e le caratteristiche degli ambienti del territorio italiano;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 il clima e le varie zone climatiche in Italia e nel mondo;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RISPETTARE L’AMBIENTE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 gli spazi comuni;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 l’ambiente che ci circonda e ha consapevolezza di alcune problematiche ad esso relative.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2cddc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L’allievo è in grado di…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 orienta attraverso i punti cardinali, le coordinate geografiche, le mappe e le carte geografiche;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le caratteristiche fisiche, politiche e socio-economiche delle regioni italiane;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RISPETTARE L’AMBIENTE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 gli spazi comuni;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 l’ambiente che ci circonda e ha consapevolezza di alcune problematiche ad esso relative.</w:t>
            </w:r>
          </w:p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8627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8627"/>
              <w:tblGridChange w:id="0">
                <w:tblGrid>
                  <w:gridCol w:w="8627"/>
                </w:tblGrid>
              </w:tblGridChange>
            </w:tblGrid>
            <w:tr>
              <w:trPr>
                <w:trHeight w:val="440" w:hRule="atLeast"/>
              </w:trPr>
              <w:tc>
                <w:tcPr/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Calibri" w:cs="Calibri" w:eastAsia="Calibri" w:hAnsi="Calibri"/>
                      <w:b w:val="1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8"/>
                      <w:szCs w:val="28"/>
                      <w:rtl w:val="0"/>
                    </w:rPr>
                    <w:t xml:space="preserve">SCUOLA SECONDARIA DI PRIMO GRADO</w:t>
                  </w:r>
                </w:p>
              </w:tc>
            </w:tr>
          </w:tbl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876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8766"/>
              <w:tblGridChange w:id="0">
                <w:tblGrid>
                  <w:gridCol w:w="8766"/>
                </w:tblGrid>
              </w:tblGridChange>
            </w:tblGrid>
            <w:tr>
              <w:trPr>
                <w:trHeight w:val="320" w:hRule="atLeast"/>
              </w:trPr>
              <w:tc>
                <w:tcPr>
                  <w:shd w:fill="d883ff" w:val="clear"/>
                </w:tcPr>
                <w:p w:rsidR="00000000" w:rsidDel="00000000" w:rsidP="00000000" w:rsidRDefault="00000000" w:rsidRPr="00000000" w14:paraId="0000006B">
                  <w:pPr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CLASSE I</w:t>
                  </w:r>
                </w:p>
              </w:tc>
            </w:tr>
          </w:tbl>
          <w:p w:rsidR="00000000" w:rsidDel="00000000" w:rsidP="00000000" w:rsidRDefault="00000000" w:rsidRPr="00000000" w14:paraId="0000006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L’allievo è in grado di…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 nello spazio e sulle carte di diversa scala in base ai punti cardinali e alle coordinate geografiche.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Orientare una carta geografica a grande scala facendo ricorso a punti di riferimento fissi</w:t>
            </w:r>
          </w:p>
          <w:p w:rsidR="00000000" w:rsidDel="00000000" w:rsidP="00000000" w:rsidRDefault="00000000" w:rsidRPr="00000000" w14:paraId="00000071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DESCRIVERE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Paesaggi e ambienti europei ed italiani, operando talvolta confronti e analizzando i fattori antropici, utilizzando in modo guidato le carte geografiche e le immagini di vario tipo.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RISPETTARE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 e confrontare alcuni caratteri dei paesaggi italiani ed europei in relazione alla loro evoluzione nel tempo, valutando gli effetti antropici sui differenti territori.</w:t>
            </w:r>
          </w:p>
          <w:p w:rsidR="00000000" w:rsidDel="00000000" w:rsidP="00000000" w:rsidRDefault="00000000" w:rsidRPr="00000000" w14:paraId="00000077">
            <w:pPr>
              <w:widowControl w:val="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Indicazioni per la progettazione didattica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strumenti della geografia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Caratteristiche generali dell’Italia e del continente europeo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Come si vive in Europa (popolazione, società, settore economico)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8733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8733"/>
              <w:tblGridChange w:id="0">
                <w:tblGrid>
                  <w:gridCol w:w="8733"/>
                </w:tblGrid>
              </w:tblGridChange>
            </w:tblGrid>
            <w:tr>
              <w:tc>
                <w:tcPr>
                  <w:shd w:fill="d883ff" w:val="clear"/>
                </w:tcPr>
                <w:p w:rsidR="00000000" w:rsidDel="00000000" w:rsidP="00000000" w:rsidRDefault="00000000" w:rsidRPr="00000000" w14:paraId="0000007E">
                  <w:pPr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CLASSE II</w:t>
                  </w:r>
                </w:p>
              </w:tc>
            </w:tr>
          </w:tbl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L’allievo è in grado di…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 in modo autonomo sulle carte e orientare quelle a grande scala in base ai punti cardinali e a punti di riferimento fissi.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 nelle realtà territoriali europee, anche attraverso l’utilizzo dei programmi multimediali.</w:t>
            </w:r>
          </w:p>
          <w:p w:rsidR="00000000" w:rsidDel="00000000" w:rsidP="00000000" w:rsidRDefault="00000000" w:rsidRPr="00000000" w14:paraId="00000085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DESCRIVERE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le Regioni europei, evidenziandone i caratteri fisici, storici, politici , economici e sociali dei singoli Stati.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in modo sempre più autonomo strumenti tradizionali (carte, grafici, dati statistici, immagini, ecc.) e innovativi per comprendere e riferire fatti e fenomeni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territoriali.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RISPETTARE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 e confrontare alcuni caratteri dei paesaggi italiani, europei e mondiali, anche in relazione alla loro evoluzione nel tempo.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temi e problemi di tutela del paesaggio come patrimonio naturale e culturale.</w:t>
            </w:r>
          </w:p>
          <w:p w:rsidR="00000000" w:rsidDel="00000000" w:rsidP="00000000" w:rsidRDefault="00000000" w:rsidRPr="00000000" w14:paraId="0000008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Indicazioni per la progettazione didattica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L’Europa e l’Unione Europea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tutela dell’ambiente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regioni europee (caratteristiche fisiche, storia, popolazione, società ed economia)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8642.0" w:type="dxa"/>
              <w:jc w:val="left"/>
              <w:tblInd w:w="36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8642"/>
              <w:tblGridChange w:id="0">
                <w:tblGrid>
                  <w:gridCol w:w="8642"/>
                </w:tblGrid>
              </w:tblGridChange>
            </w:tblGrid>
            <w:tr>
              <w:trPr>
                <w:trHeight w:val="340" w:hRule="atLeast"/>
              </w:trPr>
              <w:tc>
                <w:tcPr>
                  <w:shd w:fill="d883ff" w:val="clear"/>
                </w:tcPr>
                <w:p w:rsidR="00000000" w:rsidDel="00000000" w:rsidP="00000000" w:rsidRDefault="00000000" w:rsidRPr="00000000" w14:paraId="00000095">
                  <w:pPr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CLASSE III</w:t>
                  </w:r>
                </w:p>
              </w:tc>
            </w:tr>
          </w:tbl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L’allievo è in grado di…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 con sicurezza sulle carte e orientare quelle carte a grande scala in base ai punti di riferimento fissi. 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Orientarsi nelle realtà territoriali extraeuropee, anche attraverso l’utilizzo dei programmi multimediali.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DESCRIVERE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e denomina i continenti extraeuropei, evidenziandone i caratteri fisici, storici, politici, economici e sociali delle macroregioni e di alcuni loro Stati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nei paesaggi mondiali gli elementi fisici significativi e le emergenze ambientali, storiche e artistiche, al fine della tutela e della valorizzazione del patrimonio naturale e culturale.</w:t>
            </w:r>
          </w:p>
          <w:p w:rsidR="00000000" w:rsidDel="00000000" w:rsidP="00000000" w:rsidRDefault="00000000" w:rsidRPr="00000000" w14:paraId="000000A0">
            <w:pPr>
              <w:widowControl w:val="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RISPETTARE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e comprende le interrelazioni tra fenomeni demografici, economici e sociali di portata mondiale per formare il proprio pensiero critico.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e valuta gli effetti delle azioni dell’uomo a livello mondiale per diventare cittadini attivi e responsabili.</w:t>
            </w:r>
          </w:p>
          <w:p w:rsidR="00000000" w:rsidDel="00000000" w:rsidP="00000000" w:rsidRDefault="00000000" w:rsidRPr="00000000" w14:paraId="000000A4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Indicazioni per la progettazione didattica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spazio fisico (origine, formazione e struttura della Terra)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spazio umano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continenti e le regioni continentali (caratteristiche fisiche, storia, popolazione, società ed economia)</w:t>
            </w:r>
          </w:p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first"/>
      <w:pgSz w:h="16837" w:w="11905"/>
      <w:pgMar w:bottom="851" w:top="851" w:left="851" w:right="851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Calibri"/>
  <w:font w:name="Cambria"/>
  <w:font w:name="Times New Roman"/>
  <w:font w:name="Arial"/>
  <w:font w:name="Courier New"/>
  <w:font w:name="Times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0"/>
      <w:tblW w:w="10179.0" w:type="dxa"/>
      <w:jc w:val="left"/>
      <w:tblInd w:w="0.0" w:type="dxa"/>
      <w:tblBorders>
        <w:bottom w:color="808080" w:space="0" w:sz="18" w:val="single"/>
        <w:insideV w:color="808080" w:space="0" w:sz="18" w:val="single"/>
      </w:tblBorders>
      <w:tblLayout w:type="fixed"/>
      <w:tblLook w:val="0400"/>
    </w:tblPr>
    <w:tblGrid>
      <w:gridCol w:w="10179"/>
      <w:tblGridChange w:id="0">
        <w:tblGrid>
          <w:gridCol w:w="10179"/>
        </w:tblGrid>
      </w:tblGridChange>
    </w:tblGrid>
    <w:tr>
      <w:trPr>
        <w:trHeight w:val="300" w:hRule="atLeast"/>
      </w:trPr>
      <w:tc>
        <w:tcPr>
          <w:tcBorders>
            <w:bottom w:color="000000" w:space="0" w:sz="0" w:val="nil"/>
          </w:tcBorders>
        </w:tcPr>
        <w:p w:rsidR="00000000" w:rsidDel="00000000" w:rsidP="00000000" w:rsidRDefault="00000000" w:rsidRPr="00000000" w14:paraId="000000B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mallCaps w:val="0"/>
              <w:strike w:val="0"/>
              <w:color w:val="000000"/>
              <w:sz w:val="27"/>
              <w:szCs w:val="27"/>
              <w:u w:val="none"/>
              <w:shd w:fill="auto" w:val="clear"/>
              <w:vertAlign w:val="baseline"/>
              <w:rtl w:val="0"/>
            </w:rPr>
            <w:t xml:space="preserve">ISTITUTO COMPRENSIVO DI GAVARDO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09"/>
              <w:tab w:val="right" w:pos="9219"/>
            </w:tabs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  <w:t xml:space="preserve">VIA DOSSOLO, 41 - 25085 - GAVARDO - BS</w:t>
            <w:tab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     Tel 0365 32012 -  0365 31166 -  Fax 0365 375663 - Sito Web: </w:t>
          </w:r>
          <w:hyperlink r:id="rId1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www.icsgavardo.gov.it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E-MAIL </w:t>
          </w:r>
          <w:hyperlink r:id="rId2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99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 Posta certificata: </w:t>
          </w:r>
          <w:hyperlink r:id="rId3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bsic87400v@pec.istruzione.it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 CF 96030340176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5242560</wp:posOffset>
                </wp:positionH>
                <wp:positionV relativeFrom="paragraph">
                  <wp:posOffset>-864234</wp:posOffset>
                </wp:positionV>
                <wp:extent cx="887095" cy="88709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095" cy="887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-735329</wp:posOffset>
                </wp:positionH>
                <wp:positionV relativeFrom="paragraph">
                  <wp:posOffset>-643254</wp:posOffset>
                </wp:positionV>
                <wp:extent cx="621030" cy="690245"/>
                <wp:effectExtent b="0" l="0" r="0" t="0"/>
                <wp:wrapSquare wrapText="bothSides" distB="0" distT="0" distL="114300" distR="114300"/>
                <wp:docPr descr="Stemma2.jpg" id="3" name="image2.png"/>
                <a:graphic>
                  <a:graphicData uri="http://schemas.openxmlformats.org/drawingml/2006/picture">
                    <pic:pic>
                      <pic:nvPicPr>
                        <pic:cNvPr descr="Stemma2.jpg" id="0" name="image2.png"/>
                        <pic:cNvPicPr preferRelativeResize="0"/>
                      </pic:nvPicPr>
                      <pic:blipFill>
                        <a:blip r:embed="rId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" cy="690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B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sz w:val="22"/>
        <w:szCs w:val="22"/>
        <w:lang w:val="it-IT"/>
      </w:rPr>
    </w:rPrDefault>
    <w:pPrDefault>
      <w:pPr>
        <w:spacing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rFonts w:ascii="Candara" w:cs="Candara" w:eastAsia="Candara" w:hAnsi="Candara"/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Candara" w:cs="Candara" w:eastAsia="Candara" w:hAnsi="Candara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icsgavardo.gov.it" TargetMode="External"/><Relationship Id="rId2" Type="http://schemas.openxmlformats.org/officeDocument/2006/relationships/hyperlink" Target="mailto:bsic087004V@istruzione.it" TargetMode="External"/><Relationship Id="rId3" Type="http://schemas.openxmlformats.org/officeDocument/2006/relationships/hyperlink" Target="mailto:bsic87400v@pec.istruzione.it" TargetMode="External"/><Relationship Id="rId4" Type="http://schemas.openxmlformats.org/officeDocument/2006/relationships/image" Target="media/image3.png"/><Relationship Id="rId5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